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E6" w:rsidRPr="005A0AE6" w:rsidRDefault="005A0AE6" w:rsidP="005A0AE6">
      <w:pPr>
        <w:autoSpaceDE w:val="0"/>
        <w:autoSpaceDN w:val="0"/>
        <w:adjustRightInd w:val="0"/>
        <w:spacing w:before="100" w:after="100" w:line="240" w:lineRule="auto"/>
        <w:jc w:val="center"/>
        <w:rPr>
          <w:rFonts w:cs="Times New Roman"/>
          <w:b/>
          <w:szCs w:val="24"/>
        </w:rPr>
      </w:pPr>
      <w:r w:rsidRPr="005A0AE6">
        <w:rPr>
          <w:rFonts w:cs="Times New Roman"/>
          <w:b/>
          <w:szCs w:val="24"/>
        </w:rPr>
        <w:t>OFICIO Nº 020875</w:t>
      </w:r>
    </w:p>
    <w:p w:rsidR="005A0AE6" w:rsidRPr="005A0AE6" w:rsidRDefault="005A0AE6" w:rsidP="005A0AE6">
      <w:pPr>
        <w:autoSpaceDE w:val="0"/>
        <w:autoSpaceDN w:val="0"/>
        <w:adjustRightInd w:val="0"/>
        <w:spacing w:before="100" w:after="100" w:line="240" w:lineRule="auto"/>
        <w:jc w:val="center"/>
        <w:rPr>
          <w:rFonts w:cs="Times New Roman"/>
          <w:b/>
          <w:szCs w:val="24"/>
        </w:rPr>
      </w:pPr>
      <w:r w:rsidRPr="005A0AE6">
        <w:rPr>
          <w:rFonts w:cs="Times New Roman"/>
          <w:b/>
          <w:szCs w:val="24"/>
        </w:rPr>
        <w:t>04-08-2017</w:t>
      </w:r>
    </w:p>
    <w:p w:rsidR="005A0AE6" w:rsidRPr="005A0AE6" w:rsidRDefault="005A0AE6" w:rsidP="005A0AE6">
      <w:pPr>
        <w:autoSpaceDE w:val="0"/>
        <w:autoSpaceDN w:val="0"/>
        <w:adjustRightInd w:val="0"/>
        <w:spacing w:before="100" w:after="100" w:line="240" w:lineRule="auto"/>
        <w:jc w:val="center"/>
        <w:rPr>
          <w:rFonts w:cs="Times New Roman"/>
          <w:b/>
          <w:szCs w:val="24"/>
        </w:rPr>
      </w:pPr>
      <w:r w:rsidRPr="005A0AE6">
        <w:rPr>
          <w:rFonts w:cs="Times New Roman"/>
          <w:b/>
          <w:szCs w:val="24"/>
        </w:rPr>
        <w:t>DIAN</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Subdirección de Gestión Normativa y Doctrina</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Bogotá D.C.</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100208221- 001183</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Señor</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HENRY RIAÑO BENAVIDES</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Bogotá D.C.</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Ref.: Radicado No. 100042780 del 6 de julio de 2017</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Tema Impuesto sobre la Renta y Complementarios</w:t>
      </w:r>
    </w:p>
    <w:p w:rsidR="005A0AE6" w:rsidRPr="005A0AE6" w:rsidRDefault="005A0AE6" w:rsidP="005A0AE6">
      <w:pPr>
        <w:autoSpaceDE w:val="0"/>
        <w:autoSpaceDN w:val="0"/>
        <w:adjustRightInd w:val="0"/>
        <w:spacing w:before="100" w:after="100" w:line="240" w:lineRule="auto"/>
        <w:rPr>
          <w:rFonts w:cs="Times New Roman"/>
          <w:b/>
          <w:szCs w:val="24"/>
        </w:rPr>
      </w:pPr>
      <w:r w:rsidRPr="005A0AE6">
        <w:rPr>
          <w:rFonts w:cs="Times New Roman"/>
          <w:b/>
          <w:szCs w:val="24"/>
        </w:rPr>
        <w:t>Descriptores SUBCAPITALIZACIÓN</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 xml:space="preserve">Fuentes formales </w:t>
      </w:r>
      <w:hyperlink r:id="rId4" w:history="1">
        <w:r w:rsidRPr="005A0AE6">
          <w:rPr>
            <w:rFonts w:cs="Times New Roman"/>
            <w:szCs w:val="24"/>
            <w:u w:val="single"/>
          </w:rPr>
          <w:t>Artículo 118-1</w:t>
        </w:r>
      </w:hyperlink>
      <w:r w:rsidRPr="005A0AE6">
        <w:rPr>
          <w:rFonts w:cs="Times New Roman"/>
          <w:szCs w:val="24"/>
        </w:rPr>
        <w:t xml:space="preserve"> del Estatuto Tributario y 1.2.1.18.61 del Decreto Único Reglamentario 1625 de 2016.</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Cordial saludo, Sr. Riaño Benavides:</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Mediante el radicado de la referencia consulta:</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7353DF" w:rsidP="005A0AE6">
      <w:pPr>
        <w:autoSpaceDE w:val="0"/>
        <w:autoSpaceDN w:val="0"/>
        <w:adjustRightInd w:val="0"/>
        <w:spacing w:before="100" w:after="100" w:line="240" w:lineRule="auto"/>
        <w:rPr>
          <w:rFonts w:cs="Times New Roman"/>
          <w:szCs w:val="24"/>
        </w:rPr>
      </w:pPr>
      <w:r>
        <w:rPr>
          <w:rFonts w:cs="Times New Roman"/>
          <w:szCs w:val="24"/>
        </w:rPr>
        <w:t>“U</w:t>
      </w:r>
      <w:r w:rsidR="005A0AE6" w:rsidRPr="005A0AE6">
        <w:rPr>
          <w:rFonts w:cs="Times New Roman"/>
          <w:szCs w:val="24"/>
        </w:rPr>
        <w:t>na vez determinada la deuda ponderada de un préstamo que se adquirió por tres meses, para determinar el promedio de las deudas se debe dividir por el número de días calendario del correspondiente año (365 días) o por los días reales de utilización (90 días)”.</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 xml:space="preserve">Sobre el particular, es menester recordar que, a la luz del </w:t>
      </w:r>
      <w:hyperlink r:id="rId5" w:history="1">
        <w:r w:rsidRPr="005A0AE6">
          <w:rPr>
            <w:rFonts w:cs="Times New Roman"/>
            <w:szCs w:val="24"/>
            <w:u w:val="single"/>
          </w:rPr>
          <w:t>artículo 118-1</w:t>
        </w:r>
      </w:hyperlink>
      <w:r w:rsidRPr="005A0AE6">
        <w:rPr>
          <w:rFonts w:cs="Times New Roman"/>
          <w:szCs w:val="24"/>
        </w:rPr>
        <w:t xml:space="preserve"> del Estatuto Tributario, “[s]in perjuicio de los demás requisitos y condiciones consagrados en este Estatuto para la procedencia de la deducción de los gastos por concepto de intereses, los contribuyentes del impuesto sobre la renta y complementarios sólo podrán deducir los intereses generados con ocasión de deudas, cuyo monto total promedio durante el correspondiente año gravable no exceda el resultado de multiplicar por tres (3) el patrimonio líquido del contribuyente determinado a 31 de diciembre del año gravable inmediatamente anterior” (negrilla fuera de texto).</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Ahora bien, el artículo 1.2.1.18.61 del Decreto Único Reglamentario 1625 de 2016 establece:</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 xml:space="preserve">“ARTÍCULO 1.2.1.18.61. Determinación del monto total promedio de las deudas. Para efectos de lo previsto en el </w:t>
      </w:r>
      <w:hyperlink r:id="rId6" w:history="1">
        <w:r w:rsidRPr="005A0AE6">
          <w:rPr>
            <w:rFonts w:cs="Times New Roman"/>
            <w:szCs w:val="24"/>
            <w:u w:val="single"/>
          </w:rPr>
          <w:t>artículo 118-1</w:t>
        </w:r>
      </w:hyperlink>
      <w:r w:rsidRPr="005A0AE6">
        <w:rPr>
          <w:rFonts w:cs="Times New Roman"/>
          <w:szCs w:val="24"/>
        </w:rPr>
        <w:t xml:space="preserve"> del Estatuto Tributario, el monto total promedio de las deudas se determinará de la siguiente manera:</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b/>
          <w:szCs w:val="24"/>
        </w:rPr>
        <w:lastRenderedPageBreak/>
        <w:t>1. Para cada una de las deudas que generan intereses se identificará</w:t>
      </w:r>
      <w:r w:rsidRPr="005A0AE6">
        <w:rPr>
          <w:rFonts w:cs="Times New Roman"/>
          <w:szCs w:val="24"/>
        </w:rPr>
        <w:t>:</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 xml:space="preserve">- </w:t>
      </w:r>
      <w:r w:rsidRPr="005A0AE6">
        <w:rPr>
          <w:rFonts w:cs="Times New Roman"/>
          <w:b/>
          <w:szCs w:val="24"/>
        </w:rPr>
        <w:t>Permanencia</w:t>
      </w:r>
      <w:r w:rsidRPr="005A0AE6">
        <w:rPr>
          <w:rFonts w:cs="Times New Roman"/>
          <w:szCs w:val="24"/>
        </w:rPr>
        <w:t>: Es el número de días calendario de permanencia de la deuda durante el respectivo año gravable, el cual incluye el día de ingreso de la deuda y no incluye el día del pago del capital o principal. Para las obligaciones que provienen de años anteriores, se entiende que el día de ingreso de la deuda es el 1° de enero del año o período gravable.</w:t>
      </w:r>
    </w:p>
    <w:p w:rsidR="007353DF" w:rsidRDefault="007353DF" w:rsidP="005A0AE6">
      <w:pPr>
        <w:autoSpaceDE w:val="0"/>
        <w:autoSpaceDN w:val="0"/>
        <w:adjustRightInd w:val="0"/>
        <w:spacing w:before="100" w:after="100" w:line="240" w:lineRule="auto"/>
        <w:rPr>
          <w:rFonts w:cs="Times New Roman"/>
          <w:b/>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b/>
          <w:szCs w:val="24"/>
        </w:rPr>
        <w:t>- Base:</w:t>
      </w:r>
      <w:r w:rsidRPr="005A0AE6">
        <w:rPr>
          <w:rFonts w:cs="Times New Roman"/>
          <w:szCs w:val="24"/>
        </w:rPr>
        <w:t xml:space="preserve"> Es el valor del capital o principal de la deuda sobre el que se liquidan los intereses durante el período de permanencia.</w:t>
      </w:r>
    </w:p>
    <w:p w:rsidR="007353DF" w:rsidRDefault="007353DF" w:rsidP="005A0AE6">
      <w:pPr>
        <w:autoSpaceDE w:val="0"/>
        <w:autoSpaceDN w:val="0"/>
        <w:adjustRightInd w:val="0"/>
        <w:spacing w:before="100" w:after="100" w:line="240" w:lineRule="auto"/>
        <w:rPr>
          <w:rFonts w:cs="Times New Roman"/>
          <w:b/>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b/>
          <w:szCs w:val="24"/>
        </w:rPr>
        <w:t>- Deuda ponderada</w:t>
      </w:r>
      <w:r w:rsidRPr="005A0AE6">
        <w:rPr>
          <w:rFonts w:cs="Times New Roman"/>
          <w:szCs w:val="24"/>
        </w:rPr>
        <w:t>: Es el resultado de multiplicar el número de días de permanencia por la base.</w:t>
      </w: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En los casos en que haya amortizaciones o pagos parciales del capital de una misma deuda, la identificación de los anteriores elementos deberá hacerse en forma separada para cada tramo del saldo por pagar como si se tratara de deudas independientes.</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2. La deuda ponderada total se determinará sumando la deuda ponderada, calculada de acuerdo con lo previsto en el numeral 1 de este artículo, de todas las deudas que generan intereses.</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3. El monto total promedio de las deudas será el resultado de dividir la deuda ponderada total, calculada de acuerdo con lo previsto en el numeral 2 de este artículo por el número total de días calendario del correspondiente año o período gravable.</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b/>
          <w:szCs w:val="24"/>
        </w:rPr>
        <w:t>PARÁGRAFO</w:t>
      </w:r>
      <w:r w:rsidRPr="005A0AE6">
        <w:rPr>
          <w:rFonts w:cs="Times New Roman"/>
          <w:szCs w:val="24"/>
        </w:rPr>
        <w:t>. Para los contribuyentes que durante el correspondiente período gravable tengan deudas que generan intereses denominadas en monedas diferentes al peso colombiano, la identificación de la base en pesos se hará para cada deuda con su equivalente en dólares de los Estados Unidos de América multiplicado por el promedio diario de la Tasa Representativa del Mercado correspondiente al período de permanencia. Para determinar la anterior equivalencia de otras monedas con respecto al dólar de los Estados Unidos de América se utilizará el tipo de cambio de esta otra moneda con respecto al dólar de los Estados Unidos de América vigente el día de ingreso de la deuda o el 1° de enero del período gravable si la deuda proviene de años anteriores.” (</w:t>
      </w:r>
      <w:proofErr w:type="gramStart"/>
      <w:r w:rsidRPr="005A0AE6">
        <w:rPr>
          <w:rFonts w:cs="Times New Roman"/>
          <w:szCs w:val="24"/>
        </w:rPr>
        <w:t>negrilla</w:t>
      </w:r>
      <w:proofErr w:type="gramEnd"/>
      <w:r w:rsidRPr="005A0AE6">
        <w:rPr>
          <w:rFonts w:cs="Times New Roman"/>
          <w:szCs w:val="24"/>
        </w:rPr>
        <w:t xml:space="preserve"> fuera de texto).</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7353DF" w:rsidRDefault="005A0AE6" w:rsidP="005A0AE6">
      <w:pPr>
        <w:autoSpaceDE w:val="0"/>
        <w:autoSpaceDN w:val="0"/>
        <w:adjustRightInd w:val="0"/>
        <w:spacing w:before="100" w:after="100" w:line="240" w:lineRule="auto"/>
        <w:rPr>
          <w:rFonts w:cs="Times New Roman"/>
          <w:b/>
          <w:szCs w:val="24"/>
        </w:rPr>
      </w:pPr>
      <w:r w:rsidRPr="007353DF">
        <w:rPr>
          <w:rFonts w:cs="Times New Roman"/>
          <w:b/>
          <w:szCs w:val="24"/>
        </w:rPr>
        <w:t>De lo anterior, encuentra este Despacho que la deuda ponderada del préstamo contratado por 3 meses debe sumarse con la deuda ponderada de las demás deudas con el propósito de obtener la deuda ponderada total que, a su vez, se divide por 365 o 366 (según si el correspondiente año o período gravable es bisiesto) con el propósito de obtener el monto total promedio de las deudas.</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Lo antepuesto implica que, si el mencionado préstamo contraído por 3 meses es la única deuda, la deuda ponderada del mismo será equivalente a la deuda ponderada total que, no obstante, deberá dividirse por el número de días calendario del año o período gravable para la determinación del monto de la deuda.</w:t>
      </w:r>
    </w:p>
    <w:p w:rsidR="005A0AE6" w:rsidRPr="005A0AE6" w:rsidRDefault="005A0AE6" w:rsidP="005A0AE6">
      <w:pPr>
        <w:autoSpaceDE w:val="0"/>
        <w:autoSpaceDN w:val="0"/>
        <w:adjustRightInd w:val="0"/>
        <w:spacing w:before="100" w:after="100" w:line="240" w:lineRule="auto"/>
        <w:rPr>
          <w:rFonts w:cs="Times New Roman"/>
          <w:szCs w:val="24"/>
        </w:rPr>
      </w:pPr>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Atentamente,</w:t>
      </w:r>
      <w:bookmarkStart w:id="0" w:name="_GoBack"/>
      <w:bookmarkEnd w:id="0"/>
    </w:p>
    <w:p w:rsidR="005A0AE6" w:rsidRP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lastRenderedPageBreak/>
        <w:t>PEDRO PABLO CONTRERAS CAMARGO</w:t>
      </w:r>
    </w:p>
    <w:p w:rsidR="005A0AE6" w:rsidRDefault="005A0AE6" w:rsidP="005A0AE6">
      <w:pPr>
        <w:autoSpaceDE w:val="0"/>
        <w:autoSpaceDN w:val="0"/>
        <w:adjustRightInd w:val="0"/>
        <w:spacing w:before="100" w:after="100" w:line="240" w:lineRule="auto"/>
        <w:rPr>
          <w:rFonts w:cs="Times New Roman"/>
          <w:szCs w:val="24"/>
        </w:rPr>
      </w:pPr>
      <w:r w:rsidRPr="005A0AE6">
        <w:rPr>
          <w:rFonts w:cs="Times New Roman"/>
          <w:szCs w:val="24"/>
        </w:rPr>
        <w:t>Subdirector de Gestión Normativa y Doctrina</w:t>
      </w:r>
    </w:p>
    <w:p w:rsidR="00027854" w:rsidRPr="005A0AE6" w:rsidRDefault="00027854" w:rsidP="005A0AE6">
      <w:pPr>
        <w:autoSpaceDE w:val="0"/>
        <w:autoSpaceDN w:val="0"/>
        <w:adjustRightInd w:val="0"/>
        <w:spacing w:before="100" w:after="100" w:line="240" w:lineRule="auto"/>
        <w:rPr>
          <w:rFonts w:cs="Times New Roman"/>
          <w:szCs w:val="24"/>
        </w:rPr>
      </w:pPr>
      <w:r>
        <w:rPr>
          <w:rFonts w:cs="Times New Roman"/>
          <w:szCs w:val="24"/>
        </w:rPr>
        <w:t>______________________________________________________________________________</w:t>
      </w:r>
    </w:p>
    <w:sectPr w:rsidR="00027854" w:rsidRPr="005A0AE6" w:rsidSect="00145AD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E6"/>
    <w:rsid w:val="00027854"/>
    <w:rsid w:val="0029351E"/>
    <w:rsid w:val="005A0AE6"/>
    <w:rsid w:val="007353DF"/>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69977-697A-41B9-B1F1-E5D6406C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A0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ista_de_un_articulo.asp?Norma=29939" TargetMode="External"/><Relationship Id="rId5" Type="http://schemas.openxmlformats.org/officeDocument/2006/relationships/hyperlink" Target="vista_de_un_articulo.asp?Norma=29939" TargetMode="External"/><Relationship Id="rId4" Type="http://schemas.openxmlformats.org/officeDocument/2006/relationships/hyperlink" Target="vista_de_un_articulo.asp?Norma=299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2017-10-21T01:25:00Z</dcterms:created>
  <dcterms:modified xsi:type="dcterms:W3CDTF">2017-11-19T11:57:00Z</dcterms:modified>
</cp:coreProperties>
</file>